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关于《&lt;村（社区）法律顾问服务规范（征求意见稿）&gt;编制说明》的补充说明</w:t>
      </w:r>
    </w:p>
    <w:p>
      <w:pPr>
        <w:numPr>
          <w:ilvl w:val="0"/>
          <w:numId w:val="1"/>
        </w:num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关于团体标准的说明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2017年11月4日，全国人大常委会发布修订版《中华人民共和国标准化法》，新版标准化法在原有的国家标准、行业标准、地方标准、企业标准体系中增加了团体标准，赋予了团体标准法律地位。国家鼓励学会、协会、商会、联合会等社会团体，协调相关市场主体共同制定满足市场和创新需要的团体标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2018年6月，浙江省律师协会获国家标准化管理委员会团体标准平台上审核通过，系全国第一家注册通过的律师协会。截至目前，尚未有律师协会发布团体标准，本标准将作为第一个律师协会团体标准予以发布。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另外，地方标准制定流程复杂，制定周期往往很长，而团体标准的制定工作机制更加灵活，周期较短，有利于标准的尽快出台，以及后续标准的及时调整。</w:t>
      </w:r>
      <w:bookmarkStart w:id="0" w:name="_GoBack"/>
      <w:bookmarkEnd w:id="0"/>
    </w:p>
    <w:p>
      <w:pPr>
        <w:numPr>
          <w:ilvl w:val="0"/>
          <w:numId w:val="1"/>
        </w:num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设立村（社区）法律顾问服务团的说明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调研，各村（社区）法律顾问补贴发放途径并不一致。例如慈溪市附海镇是由当地镇政府与律师事务所签署村（社区）法律顾问合同，由镇政府直接将服务费用汇至律师事务所账户，再由律师事务所根据律师参与程度进行分配；台州市椒江区村（社区）法律顾问与村（社区）并不签署合同，司法行政部门进行年终考评后，直接将经费补贴发放至律师个人，该笔补贴不直接入律师事务所账户；丽水缙云地区，由当地司法所接受司法局的委托，对村（社区）法律顾问进行年度考核后，直接将政府补助经费发放至律师个人名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而这其中就面临一个问题，该项费用是否需要由律师事务所开具相应的发票？调研显示，有的地区要求开票，而有的地区则认为“补贴金额本就不高，开票就‘睁一只眼闭一只眼’，不作要求”，各地并不一致。而通过成立服务团的形式，直接由司法局发文聘任律师为村（社区）法律顾问服务团成员，由服务团根据实际情况进行分配，避免了签订合同和开具发票的过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另外，服务团作为为村（社区）提供法律顾问服务的临时性组织，全面负责村（社区）法律顾问的服务对接、服务安排、服务考核等工作，有利于村（社区）法律顾问的管理和服务质量的提高。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标准起草组</w:t>
      </w:r>
    </w:p>
    <w:p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2019年5月</w:t>
      </w:r>
    </w:p>
    <w:p>
      <w:pPr>
        <w:widowControl/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7FD308"/>
    <w:multiLevelType w:val="singleLevel"/>
    <w:tmpl w:val="857FD308"/>
    <w:lvl w:ilvl="0" w:tentative="0">
      <w:start w:val="1"/>
      <w:numFmt w:val="chineseCounting"/>
      <w:pStyle w:val="8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FBC"/>
    <w:rsid w:val="003A507C"/>
    <w:rsid w:val="008A2FBC"/>
    <w:rsid w:val="00E4319D"/>
    <w:rsid w:val="00FD4599"/>
    <w:rsid w:val="3FEA0B1C"/>
    <w:rsid w:val="633C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列项——（一级）"/>
    <w:qFormat/>
    <w:uiPriority w:val="0"/>
    <w:pPr>
      <w:widowControl w:val="0"/>
      <w:numPr>
        <w:ilvl w:val="0"/>
        <w:numId w:val="1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436</Words>
  <Characters>442</Characters>
  <Lines>19</Lines>
  <Paragraphs>10</Paragraphs>
  <TotalTime>2</TotalTime>
  <ScaleCrop>false</ScaleCrop>
  <LinksUpToDate>false</LinksUpToDate>
  <CharactersWithSpaces>868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2019-08-08T06:07:00Z</dcterms:created>
  <dc:creator>车 金梦</dc:creator>
  <cp:lastModifiedBy>中观法律顾问</cp:lastModifiedBy>
  <dcterms:modified xsi:type="dcterms:W3CDTF">2019-08-23T06:58:50Z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